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7" w:name="contestação-defesa-da-empresa-xyz-lda."/>
    <w:p>
      <w:pPr>
        <w:pStyle w:val="Heading2"/>
      </w:pPr>
      <w:r>
        <w:t xml:space="preserve">Contestação – Defesa da Empresa XYZ, Lda.</w:t>
      </w:r>
    </w:p>
    <w:p>
      <w:pPr>
        <w:pStyle w:val="FirstParagraph"/>
      </w:pPr>
      <w:r>
        <w:rPr>
          <w:b/>
          <w:bCs/>
        </w:rPr>
        <w:t xml:space="preserve">Processo n.º:</w:t>
      </w:r>
      <w:r>
        <w:t xml:space="preserve"> </w:t>
      </w:r>
      <w:r>
        <w:t xml:space="preserve">1234/2026</w:t>
      </w:r>
      <w:r>
        <w:br/>
      </w:r>
      <w:r>
        <w:rPr>
          <w:b/>
          <w:bCs/>
        </w:rPr>
        <w:t xml:space="preserve">Tribunal:</w:t>
      </w:r>
      <w:r>
        <w:t xml:space="preserve"> </w:t>
      </w:r>
      <w:r>
        <w:t xml:space="preserve">Tribunal Judicial do Trabalho de Lisboa</w:t>
      </w:r>
      <w:r>
        <w:br/>
      </w:r>
      <w:r>
        <w:rPr>
          <w:b/>
          <w:bCs/>
        </w:rPr>
        <w:t xml:space="preserve">Juíza:</w:t>
      </w:r>
      <w:r>
        <w:t xml:space="preserve"> </w:t>
      </w:r>
      <w:r>
        <w:t xml:space="preserve">Dr.ª Maria de Lurdes Santos</w:t>
      </w:r>
    </w:p>
    <w:p>
      <w:pPr>
        <w:pStyle w:val="BodyText"/>
      </w:pPr>
      <w:r>
        <w:rPr>
          <w:b/>
          <w:bCs/>
        </w:rPr>
        <w:t xml:space="preserve">Requerente:</w:t>
      </w:r>
      <w:r>
        <w:t xml:space="preserve"> </w:t>
      </w:r>
      <w:r>
        <w:t xml:space="preserve">José Manuel da Silva, NIF 123 456 789, residente em Rua da Liberdade, 45, 2.º Esq., 1200‑100 Lisboa.</w:t>
      </w:r>
      <w:r>
        <w:br/>
      </w:r>
      <w:r>
        <w:rPr>
          <w:b/>
          <w:bCs/>
        </w:rPr>
        <w:t xml:space="preserve">Requerido:</w:t>
      </w:r>
      <w:r>
        <w:t xml:space="preserve"> </w:t>
      </w:r>
      <w:r>
        <w:t xml:space="preserve">Empresa XYZ, Lda., pessoa coletiva número 504 321 987, com sede em Avenida da República, 100, 8.º Dto., 1050‑190 Lisboa, representada neste ato por seu Diretor‑Executivo, Sr. Carlos Alberto Mendes, com poderes conferidos por Escritura Pública de 12 de janeiro de 2020, devidamente registada na Conservatória do Registo Comercial de Lisboa sob o número 2020/001234.</w:t>
      </w:r>
    </w:p>
    <w:p>
      <w:pPr>
        <w:pStyle w:val="BodyText"/>
      </w:pPr>
      <w:r>
        <w:rPr>
          <w:b/>
          <w:bCs/>
        </w:rPr>
        <w:t xml:space="preserve">Mandatários do Requerido:</w:t>
      </w:r>
      <w:r>
        <w:br/>
      </w:r>
      <w:r>
        <w:t xml:space="preserve">- Dr. António Ribeiro, OAB 12345, com escritório em Rua das Flores, 12, 3.º Esq., 1050‑120 Lisboa.</w:t>
      </w:r>
      <w:r>
        <w:br/>
      </w:r>
      <w:r>
        <w:t xml:space="preserve">- Dra. Sofia Carvalho, OAB 67890, com escritório em Rua das Oliveiras, 30, 1.º Esq., 4000‑250 Porto.</w:t>
      </w:r>
    </w:p>
    <w:p>
      <w:pPr>
        <w:pStyle w:val="BodyText"/>
      </w:pPr>
      <w:r>
        <w:rPr>
          <w:b/>
          <w:bCs/>
        </w:rPr>
        <w:t xml:space="preserve">Lisboa, 15 de fevereiro de 2026</w:t>
      </w:r>
    </w:p>
    <w:p>
      <w:r>
        <w:pict>
          <v:rect style="width:0;height:1.5pt" o:hralign="center" o:hrstd="t" o:hr="t"/>
        </w:pict>
      </w:r>
    </w:p>
    <w:bookmarkStart w:id="9" w:name="i.-exposição-dos-factos"/>
    <w:p>
      <w:pPr>
        <w:pStyle w:val="Heading3"/>
      </w:pPr>
      <w:r>
        <w:t xml:space="preserve">I. Exposição dos Factos</w:t>
      </w:r>
    </w:p>
    <w:p>
      <w:pPr>
        <w:numPr>
          <w:ilvl w:val="0"/>
          <w:numId w:val="1001"/>
        </w:numPr>
      </w:pPr>
      <w:r>
        <w:rPr>
          <w:b/>
          <w:bCs/>
        </w:rPr>
        <w:t xml:space="preserve">Relação Laboral</w:t>
      </w:r>
      <w:r>
        <w:t xml:space="preserve"> </w:t>
      </w:r>
      <w:r>
        <w:t xml:space="preserve">– O Requerente foi admitido pela Empresa XYZ, Lda. em 10 de março de 2014, mediante contrato de trabalho a termo indeterminado, exercendo a função de</w:t>
      </w:r>
      <w:r>
        <w:t xml:space="preserve"> </w:t>
      </w:r>
      <w:r>
        <w:rPr>
          <w:b/>
          <w:bCs/>
        </w:rPr>
        <w:t xml:space="preserve">Analista de Sistemas</w:t>
      </w:r>
      <w:r>
        <w:t xml:space="preserve"> </w:t>
      </w:r>
      <w:r>
        <w:t xml:space="preserve">e, posteriormente,</w:t>
      </w:r>
      <w:r>
        <w:t xml:space="preserve"> </w:t>
      </w:r>
      <w:r>
        <w:rPr>
          <w:b/>
          <w:bCs/>
        </w:rPr>
        <w:t xml:space="preserve">Coordenador de Projetos</w:t>
      </w:r>
      <w:r>
        <w:t xml:space="preserve">. Ao longo de doze (12) anos de serviço, o Requerente sempre cumpriu com diligência as suas obrigações contratuais, não tendo sido alvo de sanções disciplinares anteriores.</w:t>
      </w:r>
    </w:p>
    <w:p>
      <w:pPr>
        <w:numPr>
          <w:ilvl w:val="0"/>
          <w:numId w:val="1001"/>
        </w:numPr>
      </w:pPr>
      <w:r>
        <w:rPr>
          <w:b/>
          <w:bCs/>
        </w:rPr>
        <w:t xml:space="preserve">Incidente de Uso Indevido de Email Corporativo</w:t>
      </w:r>
      <w:r>
        <w:t xml:space="preserve"> </w:t>
      </w:r>
      <w:r>
        <w:t xml:space="preserve">– Em 18 de novembro de 2025, o Departamento de Segurança da Informação, mediante monitorização regular dos sistemas informáticos da empresa, identificou que o Requerente utilizou, sem autorização, a sua conta de correio eletrónico corporativo (j.silva@xyz.ltd) para enviar e receber mensagens de natureza pessoal, nomeadamente a divulgação de fotografias de carácter privado e a comunicação com terceiros não vinculados à atividade profissional.</w:t>
      </w:r>
    </w:p>
    <w:p>
      <w:pPr>
        <w:numPr>
          <w:ilvl w:val="0"/>
          <w:numId w:val="1001"/>
        </w:numPr>
      </w:pPr>
      <w:r>
        <w:rPr>
          <w:b/>
          <w:bCs/>
        </w:rPr>
        <w:t xml:space="preserve">Comunicação Prévia</w:t>
      </w:r>
      <w:r>
        <w:t xml:space="preserve"> </w:t>
      </w:r>
      <w:r>
        <w:t xml:space="preserve">– Em conformidade com o artigo 351.º do Código do Trabalho, a empresa procedeu à notificação escrita ao Requerente, mediante carta registada com aviso de receção, datada de 20 de novembro de 2025, comunicando a existência de infrações graves ao dever de lealdade e ao dever de diligência, bem como a intenção de proceder ao despedimento por justa causa. A notificação continha a descrição detalhada dos factos, a referência legal aplicável e o prazo de cinco (5) dias úteis para que o Requerente apresentasse a sua defesa escrita.</w:t>
      </w:r>
    </w:p>
    <w:p>
      <w:pPr>
        <w:numPr>
          <w:ilvl w:val="0"/>
          <w:numId w:val="1001"/>
        </w:numPr>
      </w:pPr>
      <w:r>
        <w:rPr>
          <w:b/>
          <w:bCs/>
        </w:rPr>
        <w:t xml:space="preserve">Resposta do Requerente</w:t>
      </w:r>
      <w:r>
        <w:t xml:space="preserve"> </w:t>
      </w:r>
      <w:r>
        <w:t xml:space="preserve">– O Requerente não apresentou qualquer resposta escrita dentro do prazo legal, nem compareceu à reunião de esclarecimento agendada para o dia 25 de novembro de 2025.</w:t>
      </w:r>
    </w:p>
    <w:p>
      <w:pPr>
        <w:numPr>
          <w:ilvl w:val="0"/>
          <w:numId w:val="1001"/>
        </w:numPr>
      </w:pPr>
      <w:r>
        <w:rPr>
          <w:b/>
          <w:bCs/>
        </w:rPr>
        <w:t xml:space="preserve">Despedimento</w:t>
      </w:r>
      <w:r>
        <w:t xml:space="preserve"> </w:t>
      </w:r>
      <w:r>
        <w:t xml:space="preserve">– Em 30 de novembro de 2025, a empresa enviou ao Requerente, por carta registada com aviso de receção, a</w:t>
      </w:r>
      <w:r>
        <w:t xml:space="preserve"> </w:t>
      </w:r>
      <w:r>
        <w:rPr>
          <w:b/>
          <w:bCs/>
        </w:rPr>
        <w:t xml:space="preserve">carta de despedimento</w:t>
      </w:r>
      <w:r>
        <w:t xml:space="preserve"> </w:t>
      </w:r>
      <w:r>
        <w:t xml:space="preserve">fundamentada na justa causa, nos termos do artigo 351.º, n.º 1, alínea “c”, do Código do Trabalho, por violação grave do dever de lealdade e utilização indevida de recursos informáticos da empresa.</w:t>
      </w:r>
    </w:p>
    <w:bookmarkEnd w:id="9"/>
    <w:bookmarkStart w:id="13" w:name="ii.-fundamentação-jurídica"/>
    <w:p>
      <w:pPr>
        <w:pStyle w:val="Heading3"/>
      </w:pPr>
      <w:r>
        <w:t xml:space="preserve">II. Fundamentação Jurídica</w:t>
      </w:r>
    </w:p>
    <w:bookmarkStart w:id="10" w:name="da-existência-de-justa-causa"/>
    <w:p>
      <w:pPr>
        <w:pStyle w:val="Heading4"/>
      </w:pPr>
      <w:r>
        <w:t xml:space="preserve">2.1 Da Existência de Justa Causa</w:t>
      </w:r>
    </w:p>
    <w:p>
      <w:pPr>
        <w:numPr>
          <w:ilvl w:val="0"/>
          <w:numId w:val="1002"/>
        </w:numPr>
      </w:pPr>
      <w:r>
        <w:rPr>
          <w:b/>
          <w:bCs/>
        </w:rPr>
        <w:t xml:space="preserve">Artigo 351.º, n.º 1, alínea “c”</w:t>
      </w:r>
      <w:r>
        <w:t xml:space="preserve"> </w:t>
      </w:r>
      <w:r>
        <w:t xml:space="preserve">do Código do Trabalho dispõe que o empregador pode despedir por justa causa o trabalhador que,</w:t>
      </w:r>
      <w:r>
        <w:t xml:space="preserve"> </w:t>
      </w:r>
      <w:r>
        <w:rPr>
          <w:b/>
          <w:bCs/>
        </w:rPr>
        <w:t xml:space="preserve">“praticar atos que, pela sua natureza ou gravidade, tornem impossível a manutenção da relação de trabalho”</w:t>
      </w:r>
      <w:r>
        <w:t xml:space="preserve">, incluindo a violação dos deveres de lealdade e de confidencialidade.</w:t>
      </w:r>
    </w:p>
    <w:p>
      <w:pPr>
        <w:numPr>
          <w:ilvl w:val="0"/>
          <w:numId w:val="1002"/>
        </w:numPr>
      </w:pPr>
      <w:r>
        <w:t xml:space="preserve">A jurisprudência consolidada do Tribunal da Relação de Lisboa (Acórdão n.º 112/2023, de 12 de maio de 2023) reconhece que</w:t>
      </w:r>
      <w:r>
        <w:t xml:space="preserve"> </w:t>
      </w:r>
      <w:r>
        <w:rPr>
          <w:b/>
          <w:bCs/>
        </w:rPr>
        <w:t xml:space="preserve">o uso indevido do email corporativo para fins pessoais, quando ultrapassa a mera utilização ocasional e demonstra desrespeito ao dever de lealdade, constitui justa causa</w:t>
      </w:r>
      <w:r>
        <w:t xml:space="preserve">.</w:t>
      </w:r>
    </w:p>
    <w:p>
      <w:pPr>
        <w:numPr>
          <w:ilvl w:val="0"/>
          <w:numId w:val="1002"/>
        </w:numPr>
      </w:pPr>
      <w:r>
        <w:t xml:space="preserve">No presente caso, as mensagens enviadas pelo Requerente continham conteúdo pessoal de natureza sensível, foram enviadas a terceiros externos à empresa e foram realizadas de forma reiterada, ultrapassando o limite da mera “utilização ocasional” admitida pela doutrina (SILVA,</w:t>
      </w:r>
      <w:r>
        <w:t xml:space="preserve"> </w:t>
      </w:r>
      <w:r>
        <w:rPr>
          <w:i/>
          <w:iCs/>
        </w:rPr>
        <w:t xml:space="preserve">Direito do Trabalho</w:t>
      </w:r>
      <w:r>
        <w:t xml:space="preserve">, 5.ª ed., 2022).</w:t>
      </w:r>
    </w:p>
    <w:p>
      <w:pPr>
        <w:numPr>
          <w:ilvl w:val="0"/>
          <w:numId w:val="1002"/>
        </w:numPr>
      </w:pPr>
      <w:r>
        <w:t xml:space="preserve">O princípio da</w:t>
      </w:r>
      <w:r>
        <w:t xml:space="preserve"> </w:t>
      </w:r>
      <w:r>
        <w:rPr>
          <w:b/>
          <w:bCs/>
        </w:rPr>
        <w:t xml:space="preserve">proporcionalidade</w:t>
      </w:r>
      <w:r>
        <w:t xml:space="preserve"> </w:t>
      </w:r>
      <w:r>
        <w:t xml:space="preserve">não pode ser invocado para afastar a justa causa, pois a conduta do Requerente caracteriza violação grave e deliberada, não suscetível de sanções disciplinares menos severas, conforme estabelece o artigo 352.º do Código do Trabalho.</w:t>
      </w:r>
    </w:p>
    <w:bookmarkEnd w:id="10"/>
    <w:bookmarkStart w:id="11" w:name="da-observância-dos-requisitos-formais"/>
    <w:p>
      <w:pPr>
        <w:pStyle w:val="Heading4"/>
      </w:pPr>
      <w:r>
        <w:t xml:space="preserve">2.2 Da Observância dos Requisitos Formais</w:t>
      </w:r>
    </w:p>
    <w:p>
      <w:pPr>
        <w:numPr>
          <w:ilvl w:val="0"/>
          <w:numId w:val="1003"/>
        </w:numPr>
      </w:pPr>
      <w:r>
        <w:t xml:space="preserve">A empresa cumpriu integralmente o dever de</w:t>
      </w:r>
      <w:r>
        <w:t xml:space="preserve"> </w:t>
      </w:r>
      <w:r>
        <w:rPr>
          <w:b/>
          <w:bCs/>
        </w:rPr>
        <w:t xml:space="preserve">comunicação prévia</w:t>
      </w:r>
      <w:r>
        <w:t xml:space="preserve">, enviando notificação escrita ao Requerente, com descrição clara dos factos e indicação do prazo de defesa, nos termos do artigo 351.º, n.º 2, do Código do Trabalho.</w:t>
      </w:r>
    </w:p>
    <w:p>
      <w:pPr>
        <w:numPr>
          <w:ilvl w:val="0"/>
          <w:numId w:val="1003"/>
        </w:numPr>
      </w:pPr>
      <w:r>
        <w:t xml:space="preserve">A notificação foi enviada por carta registada com aviso de receção, garantindo a prova documental da sua entrega, conforme jurisprudência (Acórdão n.º 57/2022, de 3 de março de 2022, Tribunal da Relação do Porto).</w:t>
      </w:r>
    </w:p>
    <w:p>
      <w:pPr>
        <w:numPr>
          <w:ilvl w:val="0"/>
          <w:numId w:val="1003"/>
        </w:numPr>
      </w:pPr>
      <w:r>
        <w:t xml:space="preserve">O Requerente, ao não apresentar defesa escrita nem comparecer à reunião de esclarecimento,</w:t>
      </w:r>
      <w:r>
        <w:t xml:space="preserve"> </w:t>
      </w:r>
      <w:r>
        <w:rPr>
          <w:b/>
          <w:bCs/>
        </w:rPr>
        <w:t xml:space="preserve">incorreu na sua própria culpa</w:t>
      </w:r>
      <w:r>
        <w:t xml:space="preserve"> </w:t>
      </w:r>
      <w:r>
        <w:t xml:space="preserve">ao não exercer o direito de contraditório, o que impede a alegação de violação do princípio do contraditório.</w:t>
      </w:r>
    </w:p>
    <w:bookmarkEnd w:id="11"/>
    <w:bookmarkStart w:id="12" w:name="da-proporcionalidade-da-sanção"/>
    <w:p>
      <w:pPr>
        <w:pStyle w:val="Heading4"/>
      </w:pPr>
      <w:r>
        <w:t xml:space="preserve">2.3 Da Proporcionalidade da Sanção</w:t>
      </w:r>
    </w:p>
    <w:p>
      <w:pPr>
        <w:numPr>
          <w:ilvl w:val="0"/>
          <w:numId w:val="1004"/>
        </w:numPr>
      </w:pPr>
      <w:r>
        <w:t xml:space="preserve">O despedimento por justa causa, quando fundamentado em violação grave do dever de lealdade, é medida</w:t>
      </w:r>
      <w:r>
        <w:t xml:space="preserve"> </w:t>
      </w:r>
      <w:r>
        <w:rPr>
          <w:b/>
          <w:bCs/>
        </w:rPr>
        <w:t xml:space="preserve">necessária e proporcional</w:t>
      </w:r>
      <w:r>
        <w:t xml:space="preserve"> </w:t>
      </w:r>
      <w:r>
        <w:t xml:space="preserve">para preservar a confiança essencial na relação laboral (artigo 351.º, alínea “c”).</w:t>
      </w:r>
    </w:p>
    <w:p>
      <w:pPr>
        <w:numPr>
          <w:ilvl w:val="0"/>
          <w:numId w:val="1004"/>
        </w:numPr>
      </w:pPr>
      <w:r>
        <w:t xml:space="preserve">A empresa não recorreu a sanções mais brandas (advertência escrita, suspensão) porque a gravidade da conduta já se verificava em múltiplas ocorrências, comprovadas pelos registos de logs de acesso ao sistema (documento anexo –</w:t>
      </w:r>
      <w:r>
        <w:t xml:space="preserve"> </w:t>
      </w:r>
      <w:r>
        <w:rPr>
          <w:b/>
          <w:bCs/>
        </w:rPr>
        <w:t xml:space="preserve">Anexo I – Registo de Acesso ao Email Corporativo</w:t>
      </w:r>
      <w:r>
        <w:t xml:space="preserve">).</w:t>
      </w:r>
    </w:p>
    <w:bookmarkEnd w:id="12"/>
    <w:bookmarkEnd w:id="13"/>
    <w:bookmarkStart w:id="14" w:name="iii.-pedido"/>
    <w:p>
      <w:pPr>
        <w:pStyle w:val="Heading3"/>
      </w:pPr>
      <w:r>
        <w:t xml:space="preserve">III. Pedido</w:t>
      </w:r>
    </w:p>
    <w:p>
      <w:pPr>
        <w:pStyle w:val="FirstParagraph"/>
      </w:pPr>
      <w:r>
        <w:t xml:space="preserve">Em face do exposto, a Empresa XYZ, Lda., requer a V. Exa.:</w:t>
      </w:r>
    </w:p>
    <w:p>
      <w:pPr>
        <w:numPr>
          <w:ilvl w:val="0"/>
          <w:numId w:val="1005"/>
        </w:numPr>
      </w:pPr>
      <w:r>
        <w:rPr>
          <w:b/>
          <w:bCs/>
        </w:rPr>
        <w:t xml:space="preserve">A rejeição total da ação</w:t>
      </w:r>
      <w:r>
        <w:t xml:space="preserve"> </w:t>
      </w:r>
      <w:r>
        <w:t xml:space="preserve">interposta por José Manuel da Silva, reconhecendo a validade do despedimento por justa causa, nos termos do artigo 351.º do Código do Trabalho.</w:t>
      </w:r>
    </w:p>
    <w:p>
      <w:pPr>
        <w:numPr>
          <w:ilvl w:val="0"/>
          <w:numId w:val="1005"/>
        </w:numPr>
      </w:pPr>
      <w:r>
        <w:rPr>
          <w:b/>
          <w:bCs/>
        </w:rPr>
        <w:t xml:space="preserve">A condenação do Requerente</w:t>
      </w:r>
      <w:r>
        <w:t xml:space="preserve"> </w:t>
      </w:r>
      <w:r>
        <w:t xml:space="preserve">ao pagamento das custas processuais e dos honorários de advogado, nos termos do artigo 20.º do Código de Processo Civil.</w:t>
      </w:r>
    </w:p>
    <w:p>
      <w:pPr>
        <w:numPr>
          <w:ilvl w:val="0"/>
          <w:numId w:val="1005"/>
        </w:numPr>
      </w:pPr>
      <w:r>
        <w:rPr>
          <w:b/>
          <w:bCs/>
        </w:rPr>
        <w:t xml:space="preserve">A produção de prova documental</w:t>
      </w:r>
      <w:r>
        <w:t xml:space="preserve">, nomeadamente:</w:t>
      </w:r>
    </w:p>
    <w:p>
      <w:pPr>
        <w:pStyle w:val="Compact"/>
        <w:numPr>
          <w:ilvl w:val="1"/>
          <w:numId w:val="1006"/>
        </w:numPr>
      </w:pPr>
      <w:r>
        <w:rPr>
          <w:b/>
          <w:bCs/>
        </w:rPr>
        <w:t xml:space="preserve">Anexo I</w:t>
      </w:r>
      <w:r>
        <w:t xml:space="preserve"> </w:t>
      </w:r>
      <w:r>
        <w:t xml:space="preserve">– Registo de Acesso ao Email Corporativo (logs de 01/10/2025 a 18/11/2025);</w:t>
      </w:r>
    </w:p>
    <w:p>
      <w:pPr>
        <w:pStyle w:val="Compact"/>
        <w:numPr>
          <w:ilvl w:val="1"/>
          <w:numId w:val="1006"/>
        </w:numPr>
      </w:pPr>
      <w:r>
        <w:rPr>
          <w:b/>
          <w:bCs/>
        </w:rPr>
        <w:t xml:space="preserve">Anexo II</w:t>
      </w:r>
      <w:r>
        <w:t xml:space="preserve"> </w:t>
      </w:r>
      <w:r>
        <w:t xml:space="preserve">– Cópia da notificação escrita enviada a 20/11/2025;</w:t>
      </w:r>
    </w:p>
    <w:p>
      <w:pPr>
        <w:pStyle w:val="Compact"/>
        <w:numPr>
          <w:ilvl w:val="1"/>
          <w:numId w:val="1006"/>
        </w:numPr>
      </w:pPr>
      <w:r>
        <w:rPr>
          <w:b/>
          <w:bCs/>
        </w:rPr>
        <w:t xml:space="preserve">Anexo III</w:t>
      </w:r>
      <w:r>
        <w:t xml:space="preserve"> </w:t>
      </w:r>
      <w:r>
        <w:t xml:space="preserve">– Carta de despedimento datada de 30/11/2025.</w:t>
      </w:r>
    </w:p>
    <w:p>
      <w:pPr>
        <w:numPr>
          <w:ilvl w:val="0"/>
          <w:numId w:val="1005"/>
        </w:numPr>
      </w:pPr>
      <w:r>
        <w:rPr>
          <w:b/>
          <w:bCs/>
        </w:rPr>
        <w:t xml:space="preserve">A oitiva da testemunha</w:t>
      </w:r>
      <w:r>
        <w:t xml:space="preserve"> </w:t>
      </w:r>
      <w:r>
        <w:t xml:space="preserve">Sr. Carlos Alberto Mendes, Diretor‑Executivo da Empresa XYZ, Lda., para confirmar a adoção dos procedimentos internos de segurança e a tomada de decisão quanto ao despedimento.</w:t>
      </w:r>
    </w:p>
    <w:bookmarkEnd w:id="14"/>
    <w:bookmarkStart w:id="15" w:name="iv.-provas"/>
    <w:p>
      <w:pPr>
        <w:pStyle w:val="Heading3"/>
      </w:pPr>
      <w:r>
        <w:t xml:space="preserve">IV. Provas</w:t>
      </w:r>
    </w:p>
    <w:tbl>
      <w:tblPr>
        <w:tblStyle w:val="Table"/>
        <w:tblW w:type="pct" w:w="5000"/>
        <w:tblLayout w:type="fixed"/>
        <w:tblLook w:firstRow="1" w:lastRow="0" w:firstColumn="0" w:lastColumn="0" w:noHBand="0" w:noVBand="0" w:val="0020"/>
      </w:tblPr>
      <w:tblGrid>
        <w:gridCol w:w="1680"/>
        <w:gridCol w:w="1440"/>
        <w:gridCol w:w="1440"/>
        <w:gridCol w:w="3360"/>
      </w:tblGrid>
      <w:tr>
        <w:trPr>
          <w:tblHeader w:val="on"/>
        </w:trPr>
        <w:tc>
          <w:tcPr/>
          <w:p>
            <w:pPr>
              <w:pStyle w:val="Compact"/>
            </w:pPr>
            <w:r>
              <w:t xml:space="preserve">Prova</w:t>
            </w:r>
          </w:p>
        </w:tc>
        <w:tc>
          <w:tcPr/>
          <w:p>
            <w:pPr>
              <w:pStyle w:val="Compact"/>
            </w:pPr>
            <w:r>
              <w:t xml:space="preserve">Tipo</w:t>
            </w:r>
          </w:p>
        </w:tc>
        <w:tc>
          <w:tcPr/>
          <w:p>
            <w:pPr>
              <w:pStyle w:val="Compact"/>
            </w:pPr>
            <w:r>
              <w:t xml:space="preserve">Data</w:t>
            </w:r>
          </w:p>
        </w:tc>
        <w:tc>
          <w:tcPr/>
          <w:p>
            <w:pPr>
              <w:pStyle w:val="Compact"/>
            </w:pPr>
            <w:r>
              <w:t xml:space="preserve">Observações</w:t>
            </w:r>
          </w:p>
        </w:tc>
      </w:tr>
      <w:tr>
        <w:tc>
          <w:tcPr/>
          <w:p>
            <w:pPr>
              <w:pStyle w:val="Compact"/>
            </w:pPr>
            <w:r>
              <w:rPr>
                <w:b/>
                <w:bCs/>
              </w:rPr>
              <w:t xml:space="preserve">Anexo I</w:t>
            </w:r>
          </w:p>
        </w:tc>
        <w:tc>
          <w:tcPr/>
          <w:p>
            <w:pPr>
              <w:pStyle w:val="Compact"/>
            </w:pPr>
            <w:r>
              <w:t xml:space="preserve">Documental</w:t>
            </w:r>
          </w:p>
        </w:tc>
        <w:tc>
          <w:tcPr/>
          <w:p>
            <w:pPr>
              <w:pStyle w:val="Compact"/>
            </w:pPr>
            <w:r>
              <w:t xml:space="preserve">01/10/2025 – 18/11/2025</w:t>
            </w:r>
          </w:p>
        </w:tc>
        <w:tc>
          <w:tcPr/>
          <w:p>
            <w:pPr>
              <w:pStyle w:val="Compact"/>
            </w:pPr>
            <w:r>
              <w:t xml:space="preserve">Registo de acesso ao email corporativo do Requerente</w:t>
            </w:r>
          </w:p>
        </w:tc>
      </w:tr>
      <w:tr>
        <w:tc>
          <w:tcPr/>
          <w:p>
            <w:pPr>
              <w:pStyle w:val="Compact"/>
            </w:pPr>
            <w:r>
              <w:rPr>
                <w:b/>
                <w:bCs/>
              </w:rPr>
              <w:t xml:space="preserve">Anexo II</w:t>
            </w:r>
          </w:p>
        </w:tc>
        <w:tc>
          <w:tcPr/>
          <w:p>
            <w:pPr>
              <w:pStyle w:val="Compact"/>
            </w:pPr>
            <w:r>
              <w:t xml:space="preserve">Documental</w:t>
            </w:r>
          </w:p>
        </w:tc>
        <w:tc>
          <w:tcPr/>
          <w:p>
            <w:pPr>
              <w:pStyle w:val="Compact"/>
            </w:pPr>
            <w:r>
              <w:t xml:space="preserve">20/11/2025</w:t>
            </w:r>
          </w:p>
        </w:tc>
        <w:tc>
          <w:tcPr/>
          <w:p>
            <w:pPr>
              <w:pStyle w:val="Compact"/>
            </w:pPr>
            <w:r>
              <w:t xml:space="preserve">Notificação prévia ao Requerente</w:t>
            </w:r>
          </w:p>
        </w:tc>
      </w:tr>
      <w:tr>
        <w:tc>
          <w:tcPr/>
          <w:p>
            <w:pPr>
              <w:pStyle w:val="Compact"/>
            </w:pPr>
            <w:r>
              <w:rPr>
                <w:b/>
                <w:bCs/>
              </w:rPr>
              <w:t xml:space="preserve">Anexo III</w:t>
            </w:r>
          </w:p>
        </w:tc>
        <w:tc>
          <w:tcPr/>
          <w:p>
            <w:pPr>
              <w:pStyle w:val="Compact"/>
            </w:pPr>
            <w:r>
              <w:t xml:space="preserve">Documental</w:t>
            </w:r>
          </w:p>
        </w:tc>
        <w:tc>
          <w:tcPr/>
          <w:p>
            <w:pPr>
              <w:pStyle w:val="Compact"/>
            </w:pPr>
            <w:r>
              <w:t xml:space="preserve">30/11/2025</w:t>
            </w:r>
          </w:p>
        </w:tc>
        <w:tc>
          <w:tcPr/>
          <w:p>
            <w:pPr>
              <w:pStyle w:val="Compact"/>
            </w:pPr>
            <w:r>
              <w:t xml:space="preserve">Carta de despedimento</w:t>
            </w:r>
          </w:p>
        </w:tc>
      </w:tr>
      <w:tr>
        <w:tc>
          <w:tcPr/>
          <w:p>
            <w:pPr>
              <w:pStyle w:val="Compact"/>
            </w:pPr>
            <w:r>
              <w:rPr>
                <w:b/>
                <w:bCs/>
              </w:rPr>
              <w:t xml:space="preserve">Testemunha</w:t>
            </w:r>
          </w:p>
        </w:tc>
        <w:tc>
          <w:tcPr/>
          <w:p>
            <w:pPr>
              <w:pStyle w:val="Compact"/>
            </w:pPr>
            <w:r>
              <w:t xml:space="preserve">Oral</w:t>
            </w:r>
          </w:p>
        </w:tc>
        <w:tc>
          <w:tcPr/>
          <w:p>
            <w:pPr>
              <w:pStyle w:val="Compact"/>
            </w:pPr>
            <w:r>
              <w:t xml:space="preserve">A determinar</w:t>
            </w:r>
          </w:p>
        </w:tc>
        <w:tc>
          <w:tcPr/>
          <w:p>
            <w:pPr>
              <w:pStyle w:val="Compact"/>
            </w:pPr>
            <w:r>
              <w:t xml:space="preserve">Sr. Carlos Alberto Mendes (Diretor‑Executivo)</w:t>
            </w:r>
          </w:p>
        </w:tc>
      </w:tr>
    </w:tbl>
    <w:bookmarkEnd w:id="15"/>
    <w:bookmarkStart w:id="16" w:name="v.-conclusão"/>
    <w:p>
      <w:pPr>
        <w:pStyle w:val="Heading3"/>
      </w:pPr>
      <w:r>
        <w:t xml:space="preserve">V. Conclusão</w:t>
      </w:r>
    </w:p>
    <w:p>
      <w:pPr>
        <w:pStyle w:val="FirstParagraph"/>
      </w:pPr>
      <w:r>
        <w:t xml:space="preserve">A Empresa XYZ, Lda., demonstra, de forma inequívoca, que</w:t>
      </w:r>
      <w:r>
        <w:t xml:space="preserve"> </w:t>
      </w:r>
      <w:r>
        <w:rPr>
          <w:b/>
          <w:bCs/>
        </w:rPr>
        <w:t xml:space="preserve">cumpriu todos os requisitos legais</w:t>
      </w:r>
      <w:r>
        <w:t xml:space="preserve"> </w:t>
      </w:r>
      <w:r>
        <w:t xml:space="preserve">para a aplicação da justa causa, que a conduta do Requerente foi</w:t>
      </w:r>
      <w:r>
        <w:t xml:space="preserve"> </w:t>
      </w:r>
      <w:r>
        <w:rPr>
          <w:b/>
          <w:bCs/>
        </w:rPr>
        <w:t xml:space="preserve">grave e incompatível</w:t>
      </w:r>
      <w:r>
        <w:t xml:space="preserve"> </w:t>
      </w:r>
      <w:r>
        <w:t xml:space="preserve">com a manutenção da relação laboral, e que</w:t>
      </w:r>
      <w:r>
        <w:t xml:space="preserve"> </w:t>
      </w:r>
      <w:r>
        <w:rPr>
          <w:b/>
          <w:bCs/>
        </w:rPr>
        <w:t xml:space="preserve">todos os procedimentos formais</w:t>
      </w:r>
      <w:r>
        <w:t xml:space="preserve"> </w:t>
      </w:r>
      <w:r>
        <w:t xml:space="preserve">foram observados. Assim, requer a total improcedência da ação e a condenação do Requerente nas custas.</w:t>
      </w:r>
    </w:p>
    <w:p>
      <w:r>
        <w:pict>
          <v:rect style="width:0;height:1.5pt" o:hralign="center" o:hrstd="t" o:hr="t"/>
        </w:pict>
      </w:r>
    </w:p>
    <w:p>
      <w:pPr>
        <w:pStyle w:val="FirstParagraph"/>
      </w:pPr>
      <w:r>
        <w:rPr>
          <w:b/>
          <w:bCs/>
        </w:rPr>
        <w:t xml:space="preserve">Lisboa, 15 de fevereiro de 2026</w:t>
      </w:r>
    </w:p>
    <w:p>
      <w:pPr>
        <w:pStyle w:val="BodyText"/>
      </w:pPr>
      <w:r>
        <w:rPr>
          <w:i/>
          <w:iCs/>
        </w:rPr>
        <w:t xml:space="preserve">Dr. António Ribeiro</w:t>
      </w:r>
      <w:r>
        <w:br/>
      </w:r>
      <w:r>
        <w:t xml:space="preserve">OAB 12345</w:t>
      </w:r>
    </w:p>
    <w:p>
      <w:pPr>
        <w:pStyle w:val="BodyText"/>
      </w:pPr>
      <w:r>
        <w:rPr>
          <w:i/>
          <w:iCs/>
        </w:rPr>
        <w:t xml:space="preserve">Dra. Sofia Carvalho</w:t>
      </w:r>
      <w:r>
        <w:br/>
      </w:r>
      <w:r>
        <w:t xml:space="preserve">OAB 67890</w:t>
      </w:r>
    </w:p>
    <w:p>
      <w:pPr>
        <w:pStyle w:val="BodyText"/>
      </w:pPr>
      <w:r>
        <w:rPr>
          <w:b/>
          <w:bCs/>
        </w:rPr>
        <w:t xml:space="preserve">Empresa XYZ, Lda.</w:t>
      </w:r>
      <w:r>
        <w:br/>
      </w:r>
      <w:r>
        <w:t xml:space="preserve">Representada por Carlos Alberto Mendes</w:t>
      </w:r>
      <w:r>
        <w:br/>
      </w:r>
      <w:r>
        <w:t xml:space="preserve">Diretor‑Executivo</w:t>
      </w:r>
    </w:p>
    <w:p>
      <w:r>
        <w:pict>
          <v:rect style="width:0;height:1.5pt" o:hralign="center" o:hrstd="t" o:hr="t"/>
        </w:pict>
      </w:r>
    </w:p>
    <w:p>
      <w:pPr>
        <w:pStyle w:val="FirstParagraph"/>
      </w:pPr>
      <w:r>
        <w:rPr>
          <w:i/>
          <w:iCs/>
        </w:rPr>
        <w:t xml:space="preserve">Documentos anexos:</w:t>
      </w:r>
      <w:r>
        <w:t xml:space="preserve"> </w:t>
      </w:r>
      <w:r>
        <w:t xml:space="preserve">Anexo I, Anexo II, Anexo III.</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2026-02-22T18:50:38Z</dcterms:created>
  <dcterms:modified xsi:type="dcterms:W3CDTF">2026-02-22T18:50:38Z</dcterms:modified>
</cp:coreProperties>
</file>

<file path=docProps/custom.xml><?xml version="1.0" encoding="utf-8"?>
<Properties xmlns="http://schemas.openxmlformats.org/officeDocument/2006/custom-properties" xmlns:vt="http://schemas.openxmlformats.org/officeDocument/2006/docPropsVTypes"/>
</file>